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7C" w:rsidRDefault="009D537C">
      <w:pPr>
        <w:spacing w:line="360" w:lineRule="auto"/>
        <w:jc w:val="center"/>
        <w:rPr>
          <w:rFonts w:ascii="方正小标宋简体" w:eastAsia="方正小标宋简体" w:hAnsi="宋体" w:cs="Times New Roman"/>
          <w:sz w:val="36"/>
          <w:szCs w:val="36"/>
        </w:rPr>
      </w:pPr>
    </w:p>
    <w:p w:rsidR="0092193F" w:rsidRDefault="00EB0E50" w:rsidP="00466D8B">
      <w:pPr>
        <w:spacing w:line="5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/>
          <w:sz w:val="36"/>
          <w:szCs w:val="36"/>
        </w:rPr>
        <w:t>化疗后</w:t>
      </w:r>
      <w:r>
        <w:rPr>
          <w:rFonts w:ascii="方正小标宋简体" w:eastAsia="方正小标宋简体" w:hAnsi="宋体" w:cs="Times New Roman" w:hint="eastAsia"/>
          <w:sz w:val="36"/>
          <w:szCs w:val="36"/>
        </w:rPr>
        <w:t>白细胞</w:t>
      </w:r>
      <w:r>
        <w:rPr>
          <w:rFonts w:ascii="方正小标宋简体" w:eastAsia="方正小标宋简体" w:hAnsi="宋体" w:cs="Times New Roman"/>
          <w:sz w:val="36"/>
          <w:szCs w:val="36"/>
        </w:rPr>
        <w:t>减少症</w:t>
      </w:r>
      <w:r>
        <w:rPr>
          <w:rFonts w:ascii="方正小标宋简体" w:eastAsia="方正小标宋简体" w:hAnsi="宋体" w:cs="Times New Roman" w:hint="eastAsia"/>
          <w:sz w:val="36"/>
          <w:szCs w:val="36"/>
        </w:rPr>
        <w:t>中医诊疗方案</w:t>
      </w:r>
    </w:p>
    <w:p w:rsidR="0092193F" w:rsidRDefault="00EB0E50" w:rsidP="00466D8B">
      <w:pPr>
        <w:spacing w:line="5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z w:val="36"/>
          <w:szCs w:val="36"/>
        </w:rPr>
        <w:t>（</w:t>
      </w:r>
      <w:r>
        <w:rPr>
          <w:rFonts w:ascii="方正小标宋简体" w:eastAsia="方正小标宋简体" w:hAnsi="宋体" w:cs="Times New Roman"/>
          <w:sz w:val="36"/>
          <w:szCs w:val="36"/>
        </w:rPr>
        <w:t>201</w:t>
      </w:r>
      <w:r>
        <w:rPr>
          <w:rFonts w:ascii="方正小标宋简体" w:eastAsia="方正小标宋简体" w:hAnsi="宋体" w:cs="Times New Roman" w:hint="eastAsia"/>
          <w:sz w:val="36"/>
          <w:szCs w:val="36"/>
        </w:rPr>
        <w:t>8</w:t>
      </w:r>
      <w:r>
        <w:rPr>
          <w:rFonts w:ascii="方正小标宋简体" w:eastAsia="方正小标宋简体" w:hAnsi="宋体" w:cs="Times New Roman"/>
          <w:sz w:val="36"/>
          <w:szCs w:val="36"/>
        </w:rPr>
        <w:t>年版）</w:t>
      </w:r>
    </w:p>
    <w:p w:rsidR="00275C49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黑体" w:eastAsia="黑体" w:hAnsi="Times New Roman" w:cs="Times New Roman"/>
          <w:sz w:val="24"/>
          <w:szCs w:val="24"/>
        </w:rPr>
      </w:pPr>
      <w:r w:rsidRPr="009D537C">
        <w:rPr>
          <w:rFonts w:ascii="黑体" w:eastAsia="黑体" w:hAnsi="Times New Roman" w:cs="Times New Roman" w:hint="eastAsia"/>
          <w:sz w:val="24"/>
          <w:szCs w:val="24"/>
        </w:rPr>
        <w:t>一、诊断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（一）疾病诊断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/>
          <w:sz w:val="24"/>
          <w:szCs w:val="24"/>
        </w:rPr>
        <w:t>西医诊断标准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参照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 xml:space="preserve">2009 HHS/NHI/NCI 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常见不良反应事件评价标准（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CTCAE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）（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4.0.3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版）</w:t>
      </w:r>
      <w:r w:rsidRPr="009D537C">
        <w:rPr>
          <w:rFonts w:ascii="Times New Roman" w:eastAsia="宋体" w:hAnsi="Times New Roman" w:cs="Times New Roman"/>
          <w:sz w:val="24"/>
          <w:szCs w:val="24"/>
        </w:rPr>
        <w:t>[1]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及《血液病诊断及疗效标准》（第四版）</w:t>
      </w:r>
      <w:r w:rsidRPr="009D537C">
        <w:rPr>
          <w:rFonts w:ascii="Times New Roman" w:eastAsia="宋体" w:hAnsi="Times New Roman" w:cs="Times New Roman"/>
          <w:sz w:val="24"/>
          <w:szCs w:val="24"/>
        </w:rPr>
        <w:t>[2]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92193F" w:rsidRPr="009D537C" w:rsidRDefault="001A7A1C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病理明确诊断为恶性肿瘤。</w:t>
      </w:r>
    </w:p>
    <w:p w:rsidR="0092193F" w:rsidRPr="009D537C" w:rsidRDefault="001A7A1C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化疗前外周血白细胞（包括中性粒细胞）计数正常（即白细胞计数绝对值大于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4.0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×</w:t>
      </w:r>
      <w:r w:rsidR="00EB0E50" w:rsidRPr="009D537C">
        <w:rPr>
          <w:rFonts w:ascii="Times New Roman" w:eastAsia="宋体" w:hAnsi="Times New Roman" w:cs="Times New Roman"/>
          <w:sz w:val="24"/>
          <w:szCs w:val="24"/>
        </w:rPr>
        <w:t>109/L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）。</w:t>
      </w:r>
    </w:p>
    <w:p w:rsidR="0092193F" w:rsidRPr="009D537C" w:rsidRDefault="001A7A1C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化疗后外周血白细胞绝对值低于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4.0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×</w:t>
      </w:r>
      <w:r w:rsidR="00EB0E50" w:rsidRPr="009D537C">
        <w:rPr>
          <w:rFonts w:ascii="Times New Roman" w:eastAsia="宋体" w:hAnsi="Times New Roman" w:cs="Times New Roman"/>
          <w:sz w:val="24"/>
          <w:szCs w:val="24"/>
        </w:rPr>
        <w:t>109/L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92193F" w:rsidRPr="009D537C" w:rsidRDefault="001A7A1C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4.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化疗后外周血中性粒细胞绝对值低于</w:t>
      </w:r>
      <w:r w:rsidR="00EB0E50" w:rsidRPr="009D537C">
        <w:rPr>
          <w:rFonts w:ascii="Times New Roman" w:eastAsia="宋体" w:hAnsi="Times New Roman" w:cs="Times New Roman"/>
          <w:sz w:val="24"/>
          <w:szCs w:val="24"/>
        </w:rPr>
        <w:t>2.0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×</w:t>
      </w:r>
      <w:r w:rsidR="00EB0E50" w:rsidRPr="009D537C">
        <w:rPr>
          <w:rFonts w:ascii="Times New Roman" w:eastAsia="宋体" w:hAnsi="Times New Roman" w:cs="Times New Roman"/>
          <w:sz w:val="24"/>
          <w:szCs w:val="24"/>
        </w:rPr>
        <w:t>109/L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，为中性粒细胞减少症；低于</w:t>
      </w:r>
      <w:r w:rsidR="00EB0E50" w:rsidRPr="009D537C">
        <w:rPr>
          <w:rFonts w:ascii="Times New Roman" w:eastAsia="宋体" w:hAnsi="Times New Roman" w:cs="Times New Roman"/>
          <w:sz w:val="24"/>
          <w:szCs w:val="24"/>
        </w:rPr>
        <w:t>0.5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×</w:t>
      </w:r>
      <w:r w:rsidR="00EB0E50" w:rsidRPr="009D537C">
        <w:rPr>
          <w:rFonts w:ascii="Times New Roman" w:eastAsia="宋体" w:hAnsi="Times New Roman" w:cs="Times New Roman"/>
          <w:sz w:val="24"/>
          <w:szCs w:val="24"/>
        </w:rPr>
        <w:t>109/L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，为粒细胞缺乏症。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（二）</w:t>
      </w:r>
      <w:r w:rsidRPr="009D537C">
        <w:rPr>
          <w:rFonts w:ascii="Times New Roman" w:eastAsia="宋体" w:hAnsi="Times New Roman" w:cs="Times New Roman"/>
          <w:sz w:val="24"/>
          <w:szCs w:val="24"/>
        </w:rPr>
        <w:t>证候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诊断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参照国家中医药管理局医政司中医临床诊疗方案“白细胞减少症中医诊疗方案”</w:t>
      </w:r>
      <w:r w:rsidRPr="009D537C">
        <w:rPr>
          <w:rFonts w:ascii="Times New Roman" w:eastAsia="宋体" w:hAnsi="Times New Roman" w:cs="Times New Roman"/>
          <w:sz w:val="24"/>
          <w:szCs w:val="24"/>
        </w:rPr>
        <w:t>[3]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92193F" w:rsidRPr="009D537C" w:rsidRDefault="001A7A1C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气血两虚证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神疲乏力，四肢倦怠，面色少华，头晕心悸，少气懒言，失眠多梦。舌淡苔薄，脉细无力。</w:t>
      </w:r>
    </w:p>
    <w:p w:rsidR="0092193F" w:rsidRPr="009D537C" w:rsidRDefault="001A7A1C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阴虚内热证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神疲乏力，四肢倦怠，头晕目眩，耳鸣健忘，午后或夜间潮热盗汗，五心烦热，失眠多梦，口干咽燥，腰膝酸软。舌红少苔，脉细数。</w:t>
      </w:r>
    </w:p>
    <w:p w:rsidR="0092193F" w:rsidRPr="009D537C" w:rsidRDefault="001A7A1C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阳虚血瘀证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神疲乏力，四肢倦怠，面色晄白或晦暗，纳谷不香，气短懒言，腰酸怕冷，爪甲色暗，肢端麻木，畏寒肢冷，夜尿清长，大便溏稀。舌淡暗苔薄，脉细涩。</w:t>
      </w:r>
    </w:p>
    <w:p w:rsidR="00275C49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黑体" w:eastAsia="黑体" w:hAnsi="Times New Roman" w:cs="Times New Roman"/>
          <w:sz w:val="24"/>
          <w:szCs w:val="24"/>
        </w:rPr>
      </w:pPr>
      <w:r w:rsidRPr="009D537C">
        <w:rPr>
          <w:rFonts w:ascii="黑体" w:eastAsia="黑体" w:hAnsi="Times New Roman" w:cs="Times New Roman" w:hint="eastAsia"/>
          <w:sz w:val="24"/>
          <w:szCs w:val="24"/>
        </w:rPr>
        <w:t>二、治疗方法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（一）辨证论治</w:t>
      </w:r>
    </w:p>
    <w:p w:rsidR="0092193F" w:rsidRPr="009D537C" w:rsidRDefault="001A7A1C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气血两虚证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治法：补气养血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推荐方药：八珍汤加减，人参、茯苓、白术、甘草、熟地、川芎、当归、白芍，或具有同类功效的中成药（包括中药注射剂）。</w:t>
      </w:r>
    </w:p>
    <w:p w:rsidR="0092193F" w:rsidRPr="009D537C" w:rsidRDefault="001A7A1C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阴虚内热证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治法：养阴清热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推荐方</w:t>
      </w:r>
      <w:r w:rsidRPr="009D537C">
        <w:rPr>
          <w:rFonts w:ascii="Times New Roman" w:eastAsia="宋体" w:hAnsi="Times New Roman" w:cs="Times New Roman"/>
          <w:sz w:val="24"/>
          <w:szCs w:val="24"/>
        </w:rPr>
        <w:t>药：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知柏地黄丸加减。知母、熟地黄、黄柏、山茱萸（制）、山药、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lastRenderedPageBreak/>
        <w:t>牡丹皮、茯苓、泽泻，或具有同类功效的中成药（包括中药注射剂）。</w:t>
      </w:r>
    </w:p>
    <w:p w:rsidR="0092193F" w:rsidRPr="009D537C" w:rsidRDefault="001A7A1C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阳虚血瘀证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治法：温阳活血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推荐方药：金匮肾气丸加减。地黄、山药、山茱萸、茯苓、牡丹皮、泽泻、桂枝、制附子、牛膝、车前子。或具有同类功效的中成药（包括中药注射剂）。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（二）其他中医特色疗法</w:t>
      </w:r>
    </w:p>
    <w:p w:rsidR="0092193F" w:rsidRPr="009D537C" w:rsidRDefault="001A7A1C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针刺治疗</w:t>
      </w:r>
    </w:p>
    <w:p w:rsidR="0092193F" w:rsidRPr="00481F08" w:rsidRDefault="00EB0E50" w:rsidP="00481F08">
      <w:pPr>
        <w:adjustRightInd w:val="0"/>
        <w:snapToGrid w:val="0"/>
        <w:spacing w:line="380" w:lineRule="exact"/>
        <w:ind w:firstLineChars="225" w:firstLine="513"/>
        <w:rPr>
          <w:rFonts w:ascii="Times New Roman" w:eastAsia="宋体" w:hAnsi="Times New Roman" w:cs="Times New Roman"/>
          <w:spacing w:val="-6"/>
          <w:sz w:val="24"/>
          <w:szCs w:val="24"/>
        </w:rPr>
      </w:pPr>
      <w:r w:rsidRPr="00481F08">
        <w:rPr>
          <w:rFonts w:ascii="Times New Roman" w:eastAsia="宋体" w:hAnsi="Times New Roman" w:cs="Times New Roman" w:hint="eastAsia"/>
          <w:spacing w:val="-6"/>
          <w:sz w:val="24"/>
          <w:szCs w:val="24"/>
        </w:rPr>
        <w:t>选取膈俞、膏肓俞、足三里、血海、三阴交、大椎、脾俞、肾俞、悬钟等。每次至少选择三个穴位，其中血海、三阴交、悬钟直刺</w:t>
      </w:r>
      <w:r w:rsidRPr="00481F08">
        <w:rPr>
          <w:rFonts w:ascii="Times New Roman" w:eastAsia="宋体" w:hAnsi="Times New Roman" w:cs="Times New Roman"/>
          <w:spacing w:val="-6"/>
          <w:sz w:val="24"/>
          <w:szCs w:val="24"/>
        </w:rPr>
        <w:t>1</w:t>
      </w:r>
      <w:r w:rsidRPr="00481F08">
        <w:rPr>
          <w:rFonts w:ascii="Times New Roman" w:eastAsia="宋体" w:hAnsi="Times New Roman" w:cs="Times New Roman" w:hint="eastAsia"/>
          <w:spacing w:val="-6"/>
          <w:sz w:val="24"/>
          <w:szCs w:val="24"/>
        </w:rPr>
        <w:t>寸，施以捻转平补平泻手法各</w:t>
      </w:r>
      <w:r w:rsidRPr="00481F08">
        <w:rPr>
          <w:rFonts w:ascii="Times New Roman" w:eastAsia="宋体" w:hAnsi="Times New Roman" w:cs="Times New Roman"/>
          <w:spacing w:val="-6"/>
          <w:sz w:val="24"/>
          <w:szCs w:val="24"/>
        </w:rPr>
        <w:t>1</w:t>
      </w:r>
      <w:r w:rsidRPr="00481F08">
        <w:rPr>
          <w:rFonts w:ascii="Times New Roman" w:eastAsia="宋体" w:hAnsi="Times New Roman" w:cs="Times New Roman" w:hint="eastAsia"/>
          <w:spacing w:val="-6"/>
          <w:sz w:val="24"/>
          <w:szCs w:val="24"/>
        </w:rPr>
        <w:t>分钟，留针</w:t>
      </w:r>
      <w:r w:rsidRPr="00481F08">
        <w:rPr>
          <w:rFonts w:ascii="Times New Roman" w:eastAsia="宋体" w:hAnsi="Times New Roman" w:cs="Times New Roman"/>
          <w:spacing w:val="-6"/>
          <w:sz w:val="24"/>
          <w:szCs w:val="24"/>
        </w:rPr>
        <w:t>30</w:t>
      </w:r>
      <w:r w:rsidRPr="00481F08">
        <w:rPr>
          <w:rFonts w:ascii="Times New Roman" w:eastAsia="宋体" w:hAnsi="Times New Roman" w:cs="Times New Roman" w:hint="eastAsia"/>
          <w:spacing w:val="-6"/>
          <w:sz w:val="24"/>
          <w:szCs w:val="24"/>
        </w:rPr>
        <w:t>分钟，隔</w:t>
      </w:r>
      <w:r w:rsidRPr="00481F08">
        <w:rPr>
          <w:rFonts w:ascii="Times New Roman" w:eastAsia="宋体" w:hAnsi="Times New Roman" w:cs="Times New Roman"/>
          <w:spacing w:val="-6"/>
          <w:sz w:val="24"/>
          <w:szCs w:val="24"/>
        </w:rPr>
        <w:t>10</w:t>
      </w:r>
      <w:r w:rsidRPr="00481F08">
        <w:rPr>
          <w:rFonts w:ascii="Times New Roman" w:eastAsia="宋体" w:hAnsi="Times New Roman" w:cs="Times New Roman" w:hint="eastAsia"/>
          <w:spacing w:val="-6"/>
          <w:sz w:val="24"/>
          <w:szCs w:val="24"/>
        </w:rPr>
        <w:t>分钟加强捻针一次。下肢穴位左右隔日交替施术。</w:t>
      </w:r>
    </w:p>
    <w:p w:rsidR="0092193F" w:rsidRPr="009D537C" w:rsidRDefault="001A7A1C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灸法治疗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采用隔姜灸，选用脾俞、肾俞、膈俞、胃俞、大椎穴等。</w:t>
      </w:r>
    </w:p>
    <w:p w:rsidR="0092193F" w:rsidRPr="009D537C" w:rsidRDefault="001A7A1C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穴位注射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取穴：足三里。用参麦注射液，每穴注射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2ml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。方法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: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穴位常规消毒，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5ml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注射器针尖垂直刺入双侧足三里，注入参麦注射液，每穴注射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2ml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（三）西药治疗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参照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 xml:space="preserve"> HHS/NHI/NCI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常见不良反应事件评价标准（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CTCAE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4.0.3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版</w:t>
      </w:r>
      <w:r w:rsidRPr="009D537C">
        <w:rPr>
          <w:rFonts w:ascii="Times New Roman" w:eastAsia="宋体" w:hAnsi="Times New Roman" w:cs="Times New Roman"/>
          <w:sz w:val="24"/>
          <w:szCs w:val="24"/>
        </w:rPr>
        <w:t>[4]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分度标准评估白细胞（或粒细胞）减少严重程度。如患者白细胞（或粒细胞）减少程度属于</w:t>
      </w:r>
      <w:r w:rsidR="007450D1" w:rsidRPr="009D537C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instrText>= 1 \* ROMAN</w:instrText>
      </w:r>
      <w:r w:rsidR="007450D1" w:rsidRPr="009D537C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9D537C">
        <w:rPr>
          <w:rFonts w:ascii="Times New Roman" w:eastAsia="宋体" w:hAnsi="Times New Roman" w:cs="Times New Roman"/>
          <w:sz w:val="24"/>
          <w:szCs w:val="24"/>
        </w:rPr>
        <w:t>I</w:t>
      </w:r>
      <w:r w:rsidR="007450D1" w:rsidRPr="009D537C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7450D1" w:rsidRPr="009D537C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instrText>= 2 \* ROMAN</w:instrText>
      </w:r>
      <w:r w:rsidR="007450D1" w:rsidRPr="009D537C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9D537C">
        <w:rPr>
          <w:rFonts w:ascii="Times New Roman" w:eastAsia="宋体" w:hAnsi="Times New Roman" w:cs="Times New Roman"/>
          <w:sz w:val="24"/>
          <w:szCs w:val="24"/>
        </w:rPr>
        <w:t>II</w:t>
      </w:r>
      <w:r w:rsidR="007450D1" w:rsidRPr="009D537C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且不伴发热的高危险因素，建议观察；如患者白细胞（或粒细胞）减少程度属于</w:t>
      </w:r>
      <w:r w:rsidR="007450D1" w:rsidRPr="009D537C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instrText>= 1 \* ROMAN</w:instrText>
      </w:r>
      <w:r w:rsidR="007450D1" w:rsidRPr="009D537C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9D537C">
        <w:rPr>
          <w:rFonts w:ascii="Times New Roman" w:eastAsia="宋体" w:hAnsi="Times New Roman" w:cs="Times New Roman"/>
          <w:sz w:val="24"/>
          <w:szCs w:val="24"/>
        </w:rPr>
        <w:t>I</w:t>
      </w:r>
      <w:r w:rsidR="007450D1" w:rsidRPr="009D537C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7450D1" w:rsidRPr="009D537C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instrText>= 2 \* ROMAN</w:instrText>
      </w:r>
      <w:r w:rsidR="007450D1" w:rsidRPr="009D537C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9D537C">
        <w:rPr>
          <w:rFonts w:ascii="Times New Roman" w:eastAsia="宋体" w:hAnsi="Times New Roman" w:cs="Times New Roman"/>
          <w:sz w:val="24"/>
          <w:szCs w:val="24"/>
        </w:rPr>
        <w:t>II</w:t>
      </w:r>
      <w:r w:rsidR="007450D1" w:rsidRPr="009D537C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伴发热高危险因素，以及</w:t>
      </w:r>
      <w:r w:rsidR="007450D1" w:rsidRPr="009D537C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instrText>= 3 \* ROMAN</w:instrText>
      </w:r>
      <w:r w:rsidR="007450D1" w:rsidRPr="009D537C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9D537C">
        <w:rPr>
          <w:rFonts w:ascii="Times New Roman" w:eastAsia="宋体" w:hAnsi="Times New Roman" w:cs="Times New Roman"/>
          <w:sz w:val="24"/>
          <w:szCs w:val="24"/>
        </w:rPr>
        <w:t>III</w:t>
      </w:r>
      <w:r w:rsidR="007450D1" w:rsidRPr="009D537C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度、</w:t>
      </w:r>
      <w:r w:rsidR="007450D1" w:rsidRPr="009D537C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instrText>= 4 \* ROMAN</w:instrText>
      </w:r>
      <w:r w:rsidR="007450D1" w:rsidRPr="009D537C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9D537C">
        <w:rPr>
          <w:rFonts w:ascii="Times New Roman" w:eastAsia="宋体" w:hAnsi="Times New Roman" w:cs="Times New Roman"/>
          <w:sz w:val="24"/>
          <w:szCs w:val="24"/>
        </w:rPr>
        <w:t>IV</w:t>
      </w:r>
      <w:r w:rsidR="007450D1" w:rsidRPr="009D537C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度减少，推荐应用</w:t>
      </w:r>
      <w:r w:rsidRPr="009D537C">
        <w:rPr>
          <w:rFonts w:ascii="Times New Roman" w:eastAsia="宋体" w:hAnsi="Times New Roman" w:cs="Times New Roman"/>
          <w:sz w:val="24"/>
          <w:szCs w:val="24"/>
        </w:rPr>
        <w:t>G-CSF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治疗，必要时加用抗生素，参考</w:t>
      </w:r>
      <w:r w:rsidRPr="009D537C">
        <w:rPr>
          <w:rFonts w:ascii="Times New Roman" w:eastAsia="宋体" w:hAnsi="Times New Roman" w:cs="Times New Roman"/>
          <w:sz w:val="24"/>
          <w:szCs w:val="24"/>
        </w:rPr>
        <w:t xml:space="preserve">NCCN 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肿瘤实践指南</w:t>
      </w:r>
      <w:r w:rsidRPr="009D537C">
        <w:rPr>
          <w:rFonts w:ascii="Times New Roman" w:eastAsia="宋体" w:hAnsi="Times New Roman" w:cs="Times New Roman"/>
          <w:sz w:val="24"/>
          <w:szCs w:val="24"/>
        </w:rPr>
        <w:t xml:space="preserve"> Version 1.2015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（四）护理调摄要点</w:t>
      </w:r>
    </w:p>
    <w:p w:rsidR="0092193F" w:rsidRPr="009D537C" w:rsidRDefault="001A7A1C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饮食调理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适宜清淡、新鲜、高营养、易消化等食物，忌食生冷食、辛辣、刺激之品。推荐食用药食同源的食材，如红枣、山药、番薯、牛骨髓（猪骨髓）、海参、阿胶、甲鱼、银耳、燕窝、猴头菇、枸杞子、胡桃肉、花生仁等。</w:t>
      </w:r>
    </w:p>
    <w:p w:rsidR="0092193F" w:rsidRPr="009D537C" w:rsidRDefault="001A7A1C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生活起居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保持环境清洁，空气清新，避免呼吸道感染。避免前往公共场所，戴好口罩自我保护。注意口腔清洁，选用合适的漱口液，注意及时漱口。保持全身皮肤清洁，特别要注意会阴、肛周清洁。</w:t>
      </w:r>
    </w:p>
    <w:p w:rsidR="0092193F" w:rsidRPr="009D537C" w:rsidRDefault="001A7A1C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="00EB0E50" w:rsidRPr="009D537C">
        <w:rPr>
          <w:rFonts w:ascii="Times New Roman" w:eastAsia="宋体" w:hAnsi="Times New Roman" w:cs="Times New Roman" w:hint="eastAsia"/>
          <w:sz w:val="24"/>
          <w:szCs w:val="24"/>
        </w:rPr>
        <w:t>情志调理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重视情志护理，避免情志刺激。</w:t>
      </w:r>
    </w:p>
    <w:p w:rsidR="00275C49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黑体" w:eastAsia="黑体" w:hAnsi="Times New Roman" w:cs="Times New Roman"/>
          <w:sz w:val="24"/>
          <w:szCs w:val="24"/>
        </w:rPr>
      </w:pPr>
      <w:r w:rsidRPr="009D537C">
        <w:rPr>
          <w:rFonts w:ascii="黑体" w:eastAsia="黑体" w:hAnsi="Times New Roman" w:cs="Times New Roman" w:hint="eastAsia"/>
          <w:sz w:val="24"/>
          <w:szCs w:val="24"/>
        </w:rPr>
        <w:t>三、疗效评价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（一）疾病疗效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参照《血液病诊断与疗效标准》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第四版</w:t>
      </w:r>
      <w:r w:rsidRPr="009D537C">
        <w:rPr>
          <w:rFonts w:ascii="Times New Roman" w:eastAsia="宋体" w:hAnsi="Times New Roman" w:cs="Times New Roman"/>
          <w:sz w:val="24"/>
          <w:szCs w:val="24"/>
        </w:rPr>
        <w:t>)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拟定。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显效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同一患者用相同化疗方案，在第一、第三疗程合用治疗药物，第二、第四疗程不用治疗药物（即自身对照）；或同类型病例中，年龄和白细胞基数相近者作为对照组。以上无论自身对照或另设对照组，都进行下列指标比较：化疗后比化疗前白细胞和粒细胞减少数均值；最低数均值；粒细胞</w:t>
      </w:r>
      <w:r w:rsidRPr="009D537C">
        <w:rPr>
          <w:rFonts w:ascii="Times New Roman" w:eastAsia="宋体" w:hAnsi="Times New Roman" w:cs="Times New Roman"/>
          <w:sz w:val="24"/>
          <w:szCs w:val="24"/>
        </w:rPr>
        <w:t>&lt;0.5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×</w:t>
      </w:r>
      <w:r w:rsidRPr="009D537C">
        <w:rPr>
          <w:rFonts w:ascii="Times New Roman" w:eastAsia="宋体" w:hAnsi="Times New Roman" w:cs="Times New Roman"/>
          <w:sz w:val="24"/>
          <w:szCs w:val="24"/>
        </w:rPr>
        <w:t>109 L-1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及</w:t>
      </w:r>
      <w:r w:rsidRPr="009D537C">
        <w:rPr>
          <w:rFonts w:ascii="Times New Roman" w:eastAsia="宋体" w:hAnsi="Times New Roman" w:cs="Times New Roman"/>
          <w:sz w:val="24"/>
          <w:szCs w:val="24"/>
        </w:rPr>
        <w:t>&lt;1.0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×</w:t>
      </w:r>
      <w:r w:rsidRPr="009D537C">
        <w:rPr>
          <w:rFonts w:ascii="Times New Roman" w:eastAsia="宋体" w:hAnsi="Times New Roman" w:cs="Times New Roman"/>
          <w:sz w:val="24"/>
          <w:szCs w:val="24"/>
        </w:rPr>
        <w:t>109 L-1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持续天数均值。如以上均值比对照有非常显著统计学意义者为显效。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有效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比对照有统计学意义者。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无效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比对照无统计学意义者。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（二）</w:t>
      </w:r>
      <w:r w:rsidRPr="009D537C">
        <w:rPr>
          <w:rFonts w:ascii="Times New Roman" w:eastAsia="宋体" w:hAnsi="Times New Roman" w:cs="Times New Roman"/>
          <w:sz w:val="24"/>
          <w:szCs w:val="24"/>
        </w:rPr>
        <w:t>证候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疗效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/>
          <w:sz w:val="24"/>
          <w:szCs w:val="24"/>
        </w:rPr>
        <w:t>参照《中药新药临床研究指导原则（</w:t>
      </w:r>
      <w:r w:rsidRPr="009D537C">
        <w:rPr>
          <w:rFonts w:ascii="Times New Roman" w:eastAsia="宋体" w:hAnsi="Times New Roman" w:cs="Times New Roman"/>
          <w:sz w:val="24"/>
          <w:szCs w:val="24"/>
        </w:rPr>
        <w:t>2002</w:t>
      </w:r>
      <w:r w:rsidRPr="009D537C">
        <w:rPr>
          <w:rFonts w:ascii="Times New Roman" w:eastAsia="宋体" w:hAnsi="Times New Roman" w:cs="Times New Roman"/>
          <w:sz w:val="24"/>
          <w:szCs w:val="24"/>
        </w:rPr>
        <w:t>版）》</w:t>
      </w:r>
      <w:r w:rsidRPr="009D537C">
        <w:rPr>
          <w:rFonts w:ascii="Times New Roman" w:eastAsia="宋体" w:hAnsi="Times New Roman" w:cs="Times New Roman"/>
          <w:sz w:val="24"/>
          <w:szCs w:val="24"/>
        </w:rPr>
        <w:t>[5]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Pr="009D537C">
        <w:rPr>
          <w:rFonts w:ascii="Times New Roman" w:eastAsia="宋体" w:hAnsi="Times New Roman" w:cs="Times New Roman"/>
          <w:sz w:val="24"/>
          <w:szCs w:val="24"/>
        </w:rPr>
        <w:t>痊愈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/>
          <w:sz w:val="24"/>
          <w:szCs w:val="24"/>
        </w:rPr>
        <w:t>临床症状、体征消失或基本消失，证候积分减少</w:t>
      </w:r>
      <w:r w:rsidRPr="009D537C">
        <w:rPr>
          <w:rFonts w:ascii="Times New Roman" w:eastAsia="宋体" w:hAnsi="Times New Roman" w:cs="Times New Roman"/>
          <w:sz w:val="24"/>
          <w:szCs w:val="24"/>
        </w:rPr>
        <w:t>≥95%</w:t>
      </w:r>
      <w:r w:rsidRPr="009D537C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9D537C">
        <w:rPr>
          <w:rFonts w:ascii="Times New Roman" w:eastAsia="宋体" w:hAnsi="Times New Roman" w:cs="Times New Roman"/>
          <w:sz w:val="24"/>
          <w:szCs w:val="24"/>
        </w:rPr>
        <w:t>显效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/>
          <w:sz w:val="24"/>
          <w:szCs w:val="24"/>
        </w:rPr>
        <w:t>临床症状、体征明显改善，证候积分减少</w:t>
      </w:r>
      <w:r w:rsidRPr="009D537C">
        <w:rPr>
          <w:rFonts w:ascii="Times New Roman" w:eastAsia="宋体" w:hAnsi="Times New Roman" w:cs="Times New Roman"/>
          <w:sz w:val="24"/>
          <w:szCs w:val="24"/>
        </w:rPr>
        <w:t>70%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95%</w:t>
      </w:r>
      <w:r w:rsidRPr="009D537C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Pr="009D537C">
        <w:rPr>
          <w:rFonts w:ascii="Times New Roman" w:eastAsia="宋体" w:hAnsi="Times New Roman" w:cs="Times New Roman"/>
          <w:sz w:val="24"/>
          <w:szCs w:val="24"/>
        </w:rPr>
        <w:t>有效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/>
          <w:sz w:val="24"/>
          <w:szCs w:val="24"/>
        </w:rPr>
        <w:t>临床症状、体征均有好转，证候积分减少</w:t>
      </w:r>
      <w:r w:rsidRPr="009D537C">
        <w:rPr>
          <w:rFonts w:ascii="Times New Roman" w:eastAsia="宋体" w:hAnsi="Times New Roman" w:cs="Times New Roman"/>
          <w:sz w:val="24"/>
          <w:szCs w:val="24"/>
        </w:rPr>
        <w:t>30%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Pr="009D537C">
        <w:rPr>
          <w:rFonts w:ascii="Times New Roman" w:eastAsia="宋体" w:hAnsi="Times New Roman" w:cs="Times New Roman" w:hint="eastAsia"/>
          <w:sz w:val="24"/>
          <w:szCs w:val="24"/>
        </w:rPr>
        <w:t>70%</w:t>
      </w:r>
      <w:r w:rsidRPr="009D537C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4.</w:t>
      </w:r>
      <w:r w:rsidRPr="009D537C">
        <w:rPr>
          <w:rFonts w:ascii="Times New Roman" w:eastAsia="宋体" w:hAnsi="Times New Roman" w:cs="Times New Roman"/>
          <w:sz w:val="24"/>
          <w:szCs w:val="24"/>
        </w:rPr>
        <w:t>无效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/>
          <w:sz w:val="24"/>
          <w:szCs w:val="24"/>
        </w:rPr>
        <w:t>临床症状、体征无明显改善，证候积分减少不足</w:t>
      </w:r>
      <w:r w:rsidRPr="009D537C">
        <w:rPr>
          <w:rFonts w:ascii="Times New Roman" w:eastAsia="宋体" w:hAnsi="Times New Roman" w:cs="Times New Roman"/>
          <w:sz w:val="24"/>
          <w:szCs w:val="24"/>
        </w:rPr>
        <w:t>30%</w:t>
      </w:r>
      <w:r w:rsidRPr="009D537C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92193F" w:rsidRPr="009D537C" w:rsidRDefault="00EB0E50" w:rsidP="00481F08">
      <w:pPr>
        <w:adjustRightInd w:val="0"/>
        <w:snapToGrid w:val="0"/>
        <w:spacing w:line="380" w:lineRule="exact"/>
        <w:ind w:firstLineChars="225" w:firstLine="540"/>
        <w:rPr>
          <w:rFonts w:ascii="Times New Roman" w:eastAsia="宋体" w:hAnsi="Times New Roman" w:cs="Times New Roman"/>
          <w:sz w:val="24"/>
          <w:szCs w:val="24"/>
        </w:rPr>
      </w:pPr>
      <w:r w:rsidRPr="009D537C">
        <w:rPr>
          <w:rFonts w:ascii="Times New Roman" w:eastAsia="宋体" w:hAnsi="Times New Roman" w:cs="Times New Roman" w:hint="eastAsia"/>
          <w:sz w:val="24"/>
          <w:szCs w:val="24"/>
        </w:rPr>
        <w:t>注：</w:t>
      </w:r>
      <w:r w:rsidRPr="009D537C">
        <w:rPr>
          <w:rFonts w:ascii="Times New Roman" w:eastAsia="宋体" w:hAnsi="Times New Roman" w:cs="Times New Roman"/>
          <w:sz w:val="24"/>
          <w:szCs w:val="24"/>
        </w:rPr>
        <w:t>计算公式：</w:t>
      </w:r>
      <w:r w:rsidRPr="009D537C">
        <w:rPr>
          <w:rFonts w:ascii="Times New Roman" w:eastAsia="宋体" w:hAnsi="Times New Roman" w:cs="Times New Roman"/>
          <w:sz w:val="24"/>
          <w:szCs w:val="24"/>
        </w:rPr>
        <w:t>[</w:t>
      </w:r>
      <w:r w:rsidRPr="009D537C">
        <w:rPr>
          <w:rFonts w:ascii="Times New Roman" w:eastAsia="宋体" w:hAnsi="Times New Roman" w:cs="Times New Roman"/>
          <w:sz w:val="24"/>
          <w:szCs w:val="24"/>
        </w:rPr>
        <w:t>（治疗前积分－治疗后积分）／治疗前积分</w:t>
      </w:r>
      <w:r w:rsidRPr="009D537C">
        <w:rPr>
          <w:rFonts w:ascii="Times New Roman" w:eastAsia="宋体" w:hAnsi="Times New Roman" w:cs="Times New Roman"/>
          <w:sz w:val="24"/>
          <w:szCs w:val="24"/>
        </w:rPr>
        <w:t>] ×100%</w:t>
      </w:r>
      <w:r w:rsidRPr="009D537C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275C49" w:rsidRPr="00E45A3F" w:rsidRDefault="00275C49" w:rsidP="00466D8B">
      <w:pPr>
        <w:adjustRightInd w:val="0"/>
        <w:snapToGrid w:val="0"/>
        <w:spacing w:beforeLines="25" w:afterLines="25" w:line="360" w:lineRule="exact"/>
        <w:ind w:leftChars="270" w:left="567"/>
        <w:jc w:val="left"/>
        <w:rPr>
          <w:rFonts w:asciiTheme="minorEastAsia" w:hAnsiTheme="minorEastAsia"/>
          <w:szCs w:val="21"/>
        </w:rPr>
      </w:pPr>
      <w:r w:rsidRPr="00E45A3F">
        <w:rPr>
          <w:rFonts w:asciiTheme="minorEastAsia" w:hAnsiTheme="minorEastAsia" w:hint="eastAsia"/>
          <w:szCs w:val="21"/>
        </w:rPr>
        <w:t>参考文献</w:t>
      </w:r>
    </w:p>
    <w:p w:rsidR="00275C49" w:rsidRPr="00466D8B" w:rsidRDefault="00275C49" w:rsidP="00481F08">
      <w:pPr>
        <w:adjustRightInd w:val="0"/>
        <w:snapToGrid w:val="0"/>
        <w:spacing w:line="360" w:lineRule="exact"/>
        <w:ind w:leftChars="270" w:left="567"/>
        <w:rPr>
          <w:rFonts w:ascii="Times New Roman" w:hAnsi="Times New Roman" w:cs="Times New Roman"/>
          <w:szCs w:val="21"/>
          <w:shd w:val="clear" w:color="auto" w:fill="FFFFFF"/>
        </w:rPr>
      </w:pPr>
      <w:r w:rsidRPr="00466D8B">
        <w:rPr>
          <w:rFonts w:ascii="Times New Roman" w:hAnsi="Times New Roman" w:cs="Times New Roman"/>
          <w:szCs w:val="21"/>
          <w:shd w:val="clear" w:color="auto" w:fill="FFFFFF"/>
        </w:rPr>
        <w:t>[1]NCCN Guidelines Version 1.2015 Myeloid Growth Factors</w:t>
      </w:r>
    </w:p>
    <w:p w:rsidR="00275C49" w:rsidRPr="00466D8B" w:rsidRDefault="00275C49" w:rsidP="00481F08">
      <w:pPr>
        <w:adjustRightInd w:val="0"/>
        <w:snapToGrid w:val="0"/>
        <w:spacing w:line="360" w:lineRule="exact"/>
        <w:ind w:leftChars="270" w:left="567"/>
        <w:rPr>
          <w:rFonts w:ascii="Times New Roman" w:hAnsi="Times New Roman" w:cs="Times New Roman"/>
          <w:szCs w:val="21"/>
          <w:shd w:val="clear" w:color="auto" w:fill="FFFFFF"/>
        </w:rPr>
      </w:pPr>
      <w:r w:rsidRPr="00466D8B">
        <w:rPr>
          <w:rFonts w:ascii="Times New Roman" w:hAnsi="Times New Roman" w:cs="Times New Roman"/>
          <w:szCs w:val="21"/>
          <w:shd w:val="clear" w:color="auto" w:fill="FFFFFF"/>
        </w:rPr>
        <w:t>[2]</w:t>
      </w:r>
      <w:r w:rsidRPr="00466D8B">
        <w:rPr>
          <w:rFonts w:ascii="Times New Roman" w:hAnsiTheme="minorEastAsia" w:cs="Times New Roman"/>
          <w:szCs w:val="21"/>
        </w:rPr>
        <w:t>沈悌，赵永强</w:t>
      </w:r>
      <w:r w:rsidRPr="00466D8B">
        <w:rPr>
          <w:rFonts w:ascii="Times New Roman" w:hAnsi="Times New Roman" w:cs="Times New Roman"/>
          <w:szCs w:val="21"/>
        </w:rPr>
        <w:t>.</w:t>
      </w:r>
      <w:r w:rsidRPr="00466D8B">
        <w:rPr>
          <w:rFonts w:ascii="Times New Roman" w:hAnsiTheme="minorEastAsia" w:cs="Times New Roman"/>
          <w:szCs w:val="21"/>
        </w:rPr>
        <w:t>血液病诊断及疗效标准</w:t>
      </w:r>
      <w:r w:rsidRPr="00466D8B">
        <w:rPr>
          <w:rFonts w:ascii="Times New Roman" w:hAnsi="Times New Roman" w:cs="Times New Roman"/>
          <w:szCs w:val="21"/>
        </w:rPr>
        <w:t>(</w:t>
      </w:r>
      <w:r w:rsidRPr="00466D8B">
        <w:rPr>
          <w:rFonts w:ascii="Times New Roman" w:hAnsiTheme="minorEastAsia" w:cs="Times New Roman"/>
          <w:szCs w:val="21"/>
        </w:rPr>
        <w:t>第</w:t>
      </w:r>
      <w:r w:rsidRPr="00466D8B">
        <w:rPr>
          <w:rFonts w:ascii="Times New Roman" w:hAnsi="Times New Roman" w:cs="Times New Roman"/>
          <w:szCs w:val="21"/>
        </w:rPr>
        <w:t>4</w:t>
      </w:r>
      <w:r w:rsidRPr="00466D8B">
        <w:rPr>
          <w:rFonts w:ascii="Times New Roman" w:hAnsiTheme="minorEastAsia" w:cs="Times New Roman"/>
          <w:szCs w:val="21"/>
        </w:rPr>
        <w:t>版</w:t>
      </w:r>
      <w:r w:rsidRPr="00466D8B">
        <w:rPr>
          <w:rFonts w:ascii="Times New Roman" w:hAnsi="Times New Roman" w:cs="Times New Roman"/>
          <w:szCs w:val="21"/>
        </w:rPr>
        <w:t>)[M].</w:t>
      </w:r>
      <w:r w:rsidRPr="00466D8B">
        <w:rPr>
          <w:rFonts w:ascii="Times New Roman" w:hAnsiTheme="minorEastAsia" w:cs="Times New Roman"/>
          <w:szCs w:val="21"/>
        </w:rPr>
        <w:t>北京</w:t>
      </w:r>
      <w:r w:rsidRPr="00466D8B">
        <w:rPr>
          <w:rFonts w:ascii="Times New Roman" w:hAnsi="Times New Roman" w:cs="Times New Roman"/>
          <w:szCs w:val="21"/>
        </w:rPr>
        <w:t>:</w:t>
      </w:r>
      <w:r w:rsidRPr="00466D8B">
        <w:rPr>
          <w:rFonts w:ascii="Times New Roman" w:hAnsiTheme="minorEastAsia" w:cs="Times New Roman"/>
          <w:szCs w:val="21"/>
        </w:rPr>
        <w:t>科学出版社，</w:t>
      </w:r>
      <w:r w:rsidRPr="00466D8B">
        <w:rPr>
          <w:rFonts w:ascii="Times New Roman" w:hAnsi="Times New Roman" w:cs="Times New Roman"/>
          <w:szCs w:val="21"/>
        </w:rPr>
        <w:t>2018</w:t>
      </w:r>
      <w:r w:rsidRPr="00466D8B">
        <w:rPr>
          <w:rFonts w:ascii="Times New Roman" w:hAnsiTheme="minorEastAsia" w:cs="Times New Roman"/>
          <w:szCs w:val="21"/>
        </w:rPr>
        <w:t>：</w:t>
      </w:r>
      <w:r w:rsidRPr="00466D8B">
        <w:rPr>
          <w:rFonts w:ascii="Times New Roman" w:hAnsi="Times New Roman" w:cs="Times New Roman"/>
          <w:szCs w:val="21"/>
        </w:rPr>
        <w:t>85-86</w:t>
      </w:r>
    </w:p>
    <w:p w:rsidR="00275C49" w:rsidRPr="00466D8B" w:rsidRDefault="00275C49" w:rsidP="00481F08">
      <w:pPr>
        <w:adjustRightInd w:val="0"/>
        <w:snapToGrid w:val="0"/>
        <w:spacing w:line="360" w:lineRule="exact"/>
        <w:ind w:leftChars="270" w:left="567"/>
        <w:rPr>
          <w:rFonts w:ascii="Times New Roman" w:hAnsi="Times New Roman" w:cs="Times New Roman"/>
          <w:szCs w:val="21"/>
          <w:shd w:val="clear" w:color="auto" w:fill="FFFFFF"/>
        </w:rPr>
      </w:pPr>
      <w:r w:rsidRPr="00466D8B">
        <w:rPr>
          <w:rFonts w:ascii="Times New Roman" w:hAnsi="Times New Roman" w:cs="Times New Roman"/>
          <w:szCs w:val="21"/>
          <w:shd w:val="clear" w:color="auto" w:fill="FFFFFF"/>
        </w:rPr>
        <w:t>[3]</w:t>
      </w:r>
      <w:r w:rsidRPr="00466D8B">
        <w:rPr>
          <w:rFonts w:ascii="Times New Roman" w:hAnsiTheme="minorEastAsia" w:cs="Times New Roman"/>
          <w:szCs w:val="21"/>
          <w:shd w:val="clear" w:color="auto" w:fill="FFFFFF"/>
        </w:rPr>
        <w:t>国家中医药管理局医政司中医临床诊疗方案</w:t>
      </w:r>
      <w:r w:rsidRPr="00466D8B">
        <w:rPr>
          <w:rFonts w:ascii="Times New Roman" w:hAnsi="Times New Roman" w:cs="Times New Roman"/>
          <w:szCs w:val="21"/>
          <w:shd w:val="clear" w:color="auto" w:fill="FFFFFF"/>
        </w:rPr>
        <w:t>“</w:t>
      </w:r>
      <w:r w:rsidRPr="00466D8B">
        <w:rPr>
          <w:rFonts w:ascii="Times New Roman" w:hAnsiTheme="minorEastAsia" w:cs="Times New Roman"/>
          <w:szCs w:val="21"/>
          <w:shd w:val="clear" w:color="auto" w:fill="FFFFFF"/>
        </w:rPr>
        <w:t>白细胞减少症中医诊疗方案</w:t>
      </w:r>
      <w:r w:rsidRPr="00466D8B">
        <w:rPr>
          <w:rFonts w:ascii="Times New Roman" w:hAnsi="Times New Roman" w:cs="Times New Roman"/>
          <w:szCs w:val="21"/>
          <w:shd w:val="clear" w:color="auto" w:fill="FFFFFF"/>
        </w:rPr>
        <w:t>”</w:t>
      </w:r>
    </w:p>
    <w:p w:rsidR="00275C49" w:rsidRPr="00466D8B" w:rsidRDefault="00275C49" w:rsidP="00481F08">
      <w:pPr>
        <w:adjustRightInd w:val="0"/>
        <w:snapToGrid w:val="0"/>
        <w:spacing w:line="360" w:lineRule="exact"/>
        <w:ind w:leftChars="270" w:left="567"/>
        <w:rPr>
          <w:rFonts w:ascii="Times New Roman" w:hAnsi="Times New Roman" w:cs="Times New Roman"/>
          <w:szCs w:val="21"/>
          <w:shd w:val="clear" w:color="auto" w:fill="FFFFFF"/>
        </w:rPr>
      </w:pPr>
      <w:r w:rsidRPr="00466D8B">
        <w:rPr>
          <w:rFonts w:ascii="Times New Roman" w:hAnsi="Times New Roman" w:cs="Times New Roman"/>
          <w:szCs w:val="21"/>
          <w:shd w:val="clear" w:color="auto" w:fill="FFFFFF"/>
        </w:rPr>
        <w:t xml:space="preserve">[4]2009 HHS/NHI/NCI </w:t>
      </w:r>
      <w:r w:rsidRPr="00466D8B">
        <w:rPr>
          <w:rFonts w:ascii="Times New Roman" w:hAnsiTheme="minorEastAsia" w:cs="Times New Roman"/>
          <w:szCs w:val="21"/>
          <w:shd w:val="clear" w:color="auto" w:fill="FFFFFF"/>
        </w:rPr>
        <w:t>常见不良反应事件评价标准（</w:t>
      </w:r>
      <w:r w:rsidRPr="00466D8B">
        <w:rPr>
          <w:rFonts w:ascii="Times New Roman" w:hAnsi="Times New Roman" w:cs="Times New Roman"/>
          <w:szCs w:val="21"/>
          <w:shd w:val="clear" w:color="auto" w:fill="FFFFFF"/>
        </w:rPr>
        <w:t>CTCAE</w:t>
      </w:r>
      <w:r w:rsidRPr="00466D8B">
        <w:rPr>
          <w:rFonts w:ascii="Times New Roman" w:hAnsiTheme="minorEastAsia" w:cs="Times New Roman"/>
          <w:szCs w:val="21"/>
          <w:shd w:val="clear" w:color="auto" w:fill="FFFFFF"/>
        </w:rPr>
        <w:t>）</w:t>
      </w:r>
      <w:r w:rsidRPr="00466D8B">
        <w:rPr>
          <w:rFonts w:ascii="Times New Roman" w:hAnsi="Times New Roman" w:cs="Times New Roman"/>
          <w:szCs w:val="21"/>
          <w:shd w:val="clear" w:color="auto" w:fill="FFFFFF"/>
        </w:rPr>
        <w:t xml:space="preserve"> 4.0.3</w:t>
      </w:r>
      <w:r w:rsidRPr="00466D8B">
        <w:rPr>
          <w:rFonts w:ascii="Times New Roman" w:hAnsiTheme="minorEastAsia" w:cs="Times New Roman"/>
          <w:szCs w:val="21"/>
          <w:shd w:val="clear" w:color="auto" w:fill="FFFFFF"/>
        </w:rPr>
        <w:t>版分度标准</w:t>
      </w:r>
    </w:p>
    <w:p w:rsidR="00275C49" w:rsidRPr="00466D8B" w:rsidRDefault="00275C49" w:rsidP="00481F08">
      <w:pPr>
        <w:adjustRightInd w:val="0"/>
        <w:snapToGrid w:val="0"/>
        <w:spacing w:line="360" w:lineRule="exact"/>
        <w:ind w:leftChars="270" w:left="567"/>
        <w:rPr>
          <w:rFonts w:ascii="Times New Roman" w:hAnsi="Times New Roman" w:cs="Times New Roman"/>
          <w:sz w:val="24"/>
          <w:szCs w:val="24"/>
        </w:rPr>
      </w:pPr>
      <w:r w:rsidRPr="00466D8B">
        <w:rPr>
          <w:rFonts w:ascii="Times New Roman" w:hAnsi="Times New Roman" w:cs="Times New Roman"/>
          <w:szCs w:val="21"/>
          <w:shd w:val="clear" w:color="auto" w:fill="FFFFFF"/>
        </w:rPr>
        <w:t>[5]</w:t>
      </w:r>
      <w:r w:rsidRPr="00466D8B">
        <w:rPr>
          <w:rFonts w:ascii="Times New Roman" w:hAnsiTheme="minorEastAsia" w:cs="Times New Roman"/>
          <w:szCs w:val="21"/>
          <w:shd w:val="clear" w:color="auto" w:fill="FFFFFF"/>
        </w:rPr>
        <w:t>郑筱萸</w:t>
      </w:r>
      <w:r w:rsidRPr="00466D8B">
        <w:rPr>
          <w:rFonts w:ascii="Times New Roman" w:hAnsi="Times New Roman" w:cs="Times New Roman"/>
          <w:szCs w:val="21"/>
          <w:shd w:val="clear" w:color="auto" w:fill="FFFFFF"/>
        </w:rPr>
        <w:t>.</w:t>
      </w:r>
      <w:r w:rsidRPr="00466D8B">
        <w:rPr>
          <w:rFonts w:ascii="Times New Roman" w:hAnsiTheme="minorEastAsia" w:cs="Times New Roman"/>
          <w:szCs w:val="21"/>
          <w:shd w:val="clear" w:color="auto" w:fill="FFFFFF"/>
        </w:rPr>
        <w:t>中药新药临床研究指导原则</w:t>
      </w:r>
      <w:r w:rsidRPr="00466D8B">
        <w:rPr>
          <w:rFonts w:ascii="Times New Roman" w:hAnsi="Times New Roman" w:cs="Times New Roman"/>
          <w:szCs w:val="21"/>
        </w:rPr>
        <w:t>[M].</w:t>
      </w:r>
      <w:r w:rsidRPr="00466D8B">
        <w:rPr>
          <w:rFonts w:ascii="Times New Roman" w:hAnsiTheme="minorEastAsia" w:cs="Times New Roman"/>
          <w:szCs w:val="21"/>
          <w:shd w:val="clear" w:color="auto" w:fill="FFFFFF"/>
        </w:rPr>
        <w:t>北京：中国医药科技出版社，</w:t>
      </w:r>
      <w:r w:rsidRPr="00466D8B">
        <w:rPr>
          <w:rFonts w:ascii="Times New Roman" w:hAnsi="Times New Roman" w:cs="Times New Roman"/>
          <w:sz w:val="24"/>
          <w:szCs w:val="24"/>
          <w:shd w:val="clear" w:color="auto" w:fill="FFFFFF"/>
        </w:rPr>
        <w:t>2002</w:t>
      </w:r>
    </w:p>
    <w:p w:rsidR="0092193F" w:rsidRPr="00466D8B" w:rsidRDefault="0092193F" w:rsidP="00481F08">
      <w:pPr>
        <w:adjustRightInd w:val="0"/>
        <w:snapToGrid w:val="0"/>
        <w:spacing w:line="360" w:lineRule="exact"/>
        <w:ind w:leftChars="270" w:left="567" w:right="600"/>
        <w:rPr>
          <w:rFonts w:ascii="Times New Roman" w:hAnsi="Times New Roman" w:cs="Times New Roman"/>
          <w:b/>
          <w:sz w:val="24"/>
        </w:rPr>
      </w:pPr>
    </w:p>
    <w:p w:rsidR="0092193F" w:rsidRPr="0092193F" w:rsidRDefault="00275C49" w:rsidP="00481F08">
      <w:pPr>
        <w:adjustRightInd w:val="0"/>
        <w:snapToGrid w:val="0"/>
        <w:spacing w:line="360" w:lineRule="exact"/>
        <w:ind w:right="600" w:firstLineChars="250" w:firstLine="600"/>
        <w:rPr>
          <w:bCs/>
          <w:sz w:val="24"/>
          <w:szCs w:val="24"/>
        </w:rPr>
      </w:pPr>
      <w:r w:rsidRPr="00275C49">
        <w:rPr>
          <w:rFonts w:hint="eastAsia"/>
          <w:bCs/>
          <w:sz w:val="24"/>
        </w:rPr>
        <w:t>牵头分会</w:t>
      </w:r>
      <w:r w:rsidR="0092193F" w:rsidRPr="0092193F">
        <w:rPr>
          <w:rFonts w:hint="eastAsia"/>
          <w:bCs/>
          <w:sz w:val="24"/>
        </w:rPr>
        <w:t>：中华中医药学会血液病分会</w:t>
      </w:r>
    </w:p>
    <w:p w:rsidR="0092193F" w:rsidRPr="0092193F" w:rsidRDefault="00275C49" w:rsidP="00481F08">
      <w:pPr>
        <w:adjustRightInd w:val="0"/>
        <w:snapToGrid w:val="0"/>
        <w:spacing w:line="360" w:lineRule="exact"/>
        <w:ind w:right="600" w:firstLineChars="250" w:firstLine="600"/>
        <w:rPr>
          <w:bCs/>
          <w:sz w:val="24"/>
        </w:rPr>
      </w:pPr>
      <w:r w:rsidRPr="00275C49">
        <w:rPr>
          <w:rFonts w:hint="eastAsia"/>
          <w:bCs/>
          <w:sz w:val="24"/>
        </w:rPr>
        <w:t>牵</w:t>
      </w:r>
      <w:r w:rsidR="00481F08">
        <w:rPr>
          <w:rFonts w:hint="eastAsia"/>
          <w:bCs/>
          <w:sz w:val="24"/>
        </w:rPr>
        <w:t xml:space="preserve"> </w:t>
      </w:r>
      <w:r w:rsidRPr="00275C49">
        <w:rPr>
          <w:rFonts w:hint="eastAsia"/>
          <w:bCs/>
          <w:sz w:val="24"/>
        </w:rPr>
        <w:t>头</w:t>
      </w:r>
      <w:bookmarkStart w:id="0" w:name="_GoBack"/>
      <w:bookmarkEnd w:id="0"/>
      <w:r w:rsidR="00481F08">
        <w:rPr>
          <w:rFonts w:hint="eastAsia"/>
          <w:bCs/>
          <w:sz w:val="24"/>
        </w:rPr>
        <w:t xml:space="preserve"> </w:t>
      </w:r>
      <w:r w:rsidRPr="00275C49">
        <w:rPr>
          <w:rFonts w:hint="eastAsia"/>
          <w:bCs/>
          <w:sz w:val="24"/>
        </w:rPr>
        <w:t>人</w:t>
      </w:r>
      <w:r w:rsidR="0092193F" w:rsidRPr="0092193F">
        <w:rPr>
          <w:rFonts w:hint="eastAsia"/>
          <w:bCs/>
          <w:sz w:val="24"/>
        </w:rPr>
        <w:t>：侯</w:t>
      </w:r>
      <w:r w:rsidR="0092193F" w:rsidRPr="0092193F">
        <w:rPr>
          <w:rFonts w:hint="eastAsia"/>
          <w:bCs/>
          <w:sz w:val="24"/>
        </w:rPr>
        <w:t xml:space="preserve"> </w:t>
      </w:r>
      <w:r w:rsidR="0092193F" w:rsidRPr="0092193F">
        <w:rPr>
          <w:bCs/>
          <w:sz w:val="24"/>
        </w:rPr>
        <w:t xml:space="preserve"> </w:t>
      </w:r>
      <w:r w:rsidR="0092193F" w:rsidRPr="0092193F">
        <w:rPr>
          <w:rFonts w:hint="eastAsia"/>
          <w:bCs/>
          <w:sz w:val="24"/>
        </w:rPr>
        <w:t>丽（北京中医药大学东直门医院）</w:t>
      </w:r>
    </w:p>
    <w:p w:rsidR="0092193F" w:rsidRDefault="00275C49" w:rsidP="00481F08">
      <w:pPr>
        <w:adjustRightInd w:val="0"/>
        <w:snapToGrid w:val="0"/>
        <w:spacing w:line="360" w:lineRule="exact"/>
        <w:ind w:right="600" w:firstLineChars="250" w:firstLine="600"/>
        <w:rPr>
          <w:bCs/>
          <w:sz w:val="24"/>
        </w:rPr>
      </w:pPr>
      <w:r w:rsidRPr="00275C49">
        <w:rPr>
          <w:rFonts w:hint="eastAsia"/>
          <w:bCs/>
          <w:sz w:val="24"/>
        </w:rPr>
        <w:t>主要完成人</w:t>
      </w:r>
      <w:r w:rsidR="0092193F" w:rsidRPr="0092193F">
        <w:rPr>
          <w:rFonts w:hint="eastAsia"/>
          <w:bCs/>
          <w:sz w:val="24"/>
        </w:rPr>
        <w:t>：</w:t>
      </w:r>
    </w:p>
    <w:p w:rsidR="00275C49" w:rsidRDefault="0092193F" w:rsidP="00481F08">
      <w:pPr>
        <w:adjustRightInd w:val="0"/>
        <w:snapToGrid w:val="0"/>
        <w:spacing w:line="360" w:lineRule="exact"/>
        <w:ind w:right="600" w:firstLineChars="700" w:firstLine="1680"/>
        <w:rPr>
          <w:sz w:val="24"/>
        </w:rPr>
      </w:pPr>
      <w:r w:rsidRPr="0092193F">
        <w:rPr>
          <w:rFonts w:asciiTheme="majorEastAsia" w:eastAsiaTheme="majorEastAsia" w:hAnsiTheme="majorEastAsia" w:hint="eastAsia"/>
          <w:bCs/>
          <w:sz w:val="24"/>
          <w:szCs w:val="24"/>
          <w:shd w:val="clear" w:color="auto" w:fill="FFFFFF"/>
        </w:rPr>
        <w:t>侯</w:t>
      </w:r>
      <w:r w:rsidRPr="0092193F">
        <w:rPr>
          <w:rFonts w:asciiTheme="majorEastAsia" w:eastAsiaTheme="majorEastAsia" w:hAnsiTheme="majorEastAsia"/>
          <w:bCs/>
          <w:sz w:val="24"/>
          <w:szCs w:val="24"/>
          <w:shd w:val="clear" w:color="auto" w:fill="FFFFFF"/>
        </w:rPr>
        <w:t xml:space="preserve">  </w:t>
      </w:r>
      <w:r w:rsidRPr="0092193F">
        <w:rPr>
          <w:rFonts w:asciiTheme="majorEastAsia" w:eastAsiaTheme="majorEastAsia" w:hAnsiTheme="majorEastAsia" w:hint="eastAsia"/>
          <w:bCs/>
          <w:sz w:val="24"/>
          <w:szCs w:val="24"/>
          <w:shd w:val="clear" w:color="auto" w:fill="FFFFFF"/>
        </w:rPr>
        <w:t>丽</w:t>
      </w:r>
      <w:r w:rsidRPr="0092193F">
        <w:rPr>
          <w:rFonts w:hint="eastAsia"/>
          <w:bCs/>
          <w:sz w:val="24"/>
        </w:rPr>
        <w:t>（</w:t>
      </w:r>
      <w:r w:rsidR="00EB0E50">
        <w:rPr>
          <w:rFonts w:hint="eastAsia"/>
          <w:sz w:val="24"/>
        </w:rPr>
        <w:t>北京中医药大学东直门医院）</w:t>
      </w:r>
    </w:p>
    <w:p w:rsidR="0092193F" w:rsidRDefault="00EB0E50" w:rsidP="00481F08">
      <w:pPr>
        <w:adjustRightInd w:val="0"/>
        <w:snapToGrid w:val="0"/>
        <w:spacing w:line="360" w:lineRule="exact"/>
        <w:ind w:right="600"/>
        <w:rPr>
          <w:sz w:val="24"/>
        </w:rPr>
      </w:pPr>
      <w:r>
        <w:rPr>
          <w:sz w:val="24"/>
        </w:rPr>
        <w:t xml:space="preserve">        </w:t>
      </w:r>
      <w:r w:rsidR="00481F08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陈信义（北京中医药大学东直门医院）</w:t>
      </w:r>
    </w:p>
    <w:p w:rsidR="0092193F" w:rsidRDefault="00EB0E50" w:rsidP="00481F08">
      <w:pPr>
        <w:adjustRightInd w:val="0"/>
        <w:snapToGrid w:val="0"/>
        <w:spacing w:line="360" w:lineRule="exact"/>
        <w:ind w:right="600" w:firstLineChars="700" w:firstLine="1680"/>
        <w:rPr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李 </w:t>
      </w:r>
      <w:r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潇</w:t>
      </w:r>
      <w:r>
        <w:rPr>
          <w:rFonts w:hint="eastAsia"/>
          <w:sz w:val="24"/>
        </w:rPr>
        <w:t>（北京中医药大学东直门医院）</w:t>
      </w:r>
    </w:p>
    <w:p w:rsidR="00275C49" w:rsidRDefault="00EB0E50" w:rsidP="00481F08">
      <w:pPr>
        <w:adjustRightInd w:val="0"/>
        <w:snapToGrid w:val="0"/>
        <w:spacing w:line="360" w:lineRule="exact"/>
        <w:ind w:right="600" w:firstLineChars="700" w:firstLine="1680"/>
        <w:rPr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田劭丹</w:t>
      </w:r>
      <w:r>
        <w:rPr>
          <w:rFonts w:hint="eastAsia"/>
          <w:sz w:val="24"/>
        </w:rPr>
        <w:t>（北京中医药大学东直门医院）</w:t>
      </w:r>
    </w:p>
    <w:p w:rsidR="00275C49" w:rsidRDefault="00EB0E50" w:rsidP="00481F08">
      <w:pPr>
        <w:adjustRightInd w:val="0"/>
        <w:snapToGrid w:val="0"/>
        <w:spacing w:line="360" w:lineRule="exact"/>
        <w:ind w:right="600" w:firstLineChars="700" w:firstLine="1680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贾 </w:t>
      </w:r>
      <w:r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玫</w:t>
      </w:r>
      <w:r>
        <w:rPr>
          <w:rFonts w:hint="eastAsia"/>
          <w:sz w:val="24"/>
        </w:rPr>
        <w:t>（北京中医药大学东直门医院）</w:t>
      </w:r>
    </w:p>
    <w:p w:rsidR="0092193F" w:rsidRDefault="0092193F" w:rsidP="00481F08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sectPr w:rsidR="0092193F" w:rsidSect="009D537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4C3" w:rsidRDefault="004934C3" w:rsidP="001A7A1C">
      <w:r>
        <w:separator/>
      </w:r>
    </w:p>
  </w:endnote>
  <w:endnote w:type="continuationSeparator" w:id="1">
    <w:p w:rsidR="004934C3" w:rsidRDefault="004934C3" w:rsidP="001A7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4C3" w:rsidRDefault="004934C3" w:rsidP="001A7A1C">
      <w:r>
        <w:separator/>
      </w:r>
    </w:p>
  </w:footnote>
  <w:footnote w:type="continuationSeparator" w:id="1">
    <w:p w:rsidR="004934C3" w:rsidRDefault="004934C3" w:rsidP="001A7A1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D58"/>
    <w:rsid w:val="00000436"/>
    <w:rsid w:val="00002BB1"/>
    <w:rsid w:val="000119E5"/>
    <w:rsid w:val="00016FAD"/>
    <w:rsid w:val="00017026"/>
    <w:rsid w:val="00023E6A"/>
    <w:rsid w:val="000240D7"/>
    <w:rsid w:val="0002416F"/>
    <w:rsid w:val="00034B46"/>
    <w:rsid w:val="00036238"/>
    <w:rsid w:val="00036586"/>
    <w:rsid w:val="0004679F"/>
    <w:rsid w:val="00047076"/>
    <w:rsid w:val="00052330"/>
    <w:rsid w:val="000604AB"/>
    <w:rsid w:val="00067F1A"/>
    <w:rsid w:val="000706D9"/>
    <w:rsid w:val="000739CE"/>
    <w:rsid w:val="00077C9E"/>
    <w:rsid w:val="00081A85"/>
    <w:rsid w:val="0008284D"/>
    <w:rsid w:val="000830C9"/>
    <w:rsid w:val="00083398"/>
    <w:rsid w:val="000869B0"/>
    <w:rsid w:val="0009024E"/>
    <w:rsid w:val="000931EA"/>
    <w:rsid w:val="000B0E99"/>
    <w:rsid w:val="000B0F51"/>
    <w:rsid w:val="000B3C18"/>
    <w:rsid w:val="000B4290"/>
    <w:rsid w:val="000C39B4"/>
    <w:rsid w:val="000C6595"/>
    <w:rsid w:val="000E394B"/>
    <w:rsid w:val="000E3ED7"/>
    <w:rsid w:val="000E4DEF"/>
    <w:rsid w:val="000E626F"/>
    <w:rsid w:val="000E68F6"/>
    <w:rsid w:val="000F3F7F"/>
    <w:rsid w:val="000F76E0"/>
    <w:rsid w:val="001019A0"/>
    <w:rsid w:val="00102D1D"/>
    <w:rsid w:val="00116FF2"/>
    <w:rsid w:val="00133192"/>
    <w:rsid w:val="0014524A"/>
    <w:rsid w:val="00151D32"/>
    <w:rsid w:val="00181DBD"/>
    <w:rsid w:val="001A0898"/>
    <w:rsid w:val="001A5AEF"/>
    <w:rsid w:val="001A7A07"/>
    <w:rsid w:val="001A7A1C"/>
    <w:rsid w:val="001B23E3"/>
    <w:rsid w:val="001B4367"/>
    <w:rsid w:val="001E0505"/>
    <w:rsid w:val="001F200F"/>
    <w:rsid w:val="001F373E"/>
    <w:rsid w:val="00202461"/>
    <w:rsid w:val="00203A7D"/>
    <w:rsid w:val="0021386F"/>
    <w:rsid w:val="00220622"/>
    <w:rsid w:val="002256D2"/>
    <w:rsid w:val="00231263"/>
    <w:rsid w:val="002345E7"/>
    <w:rsid w:val="00237FEF"/>
    <w:rsid w:val="00242C5A"/>
    <w:rsid w:val="00245DA6"/>
    <w:rsid w:val="0024639C"/>
    <w:rsid w:val="002619AE"/>
    <w:rsid w:val="002749AC"/>
    <w:rsid w:val="00275C49"/>
    <w:rsid w:val="00276261"/>
    <w:rsid w:val="00277064"/>
    <w:rsid w:val="00282F70"/>
    <w:rsid w:val="00285D0A"/>
    <w:rsid w:val="002A587C"/>
    <w:rsid w:val="002B6433"/>
    <w:rsid w:val="002B6B17"/>
    <w:rsid w:val="002C7300"/>
    <w:rsid w:val="002E6166"/>
    <w:rsid w:val="002F0947"/>
    <w:rsid w:val="002F0CDC"/>
    <w:rsid w:val="002F1D2C"/>
    <w:rsid w:val="002F40D5"/>
    <w:rsid w:val="0030398A"/>
    <w:rsid w:val="00314DC0"/>
    <w:rsid w:val="00315978"/>
    <w:rsid w:val="003164B4"/>
    <w:rsid w:val="003175CB"/>
    <w:rsid w:val="003211E0"/>
    <w:rsid w:val="00334F4B"/>
    <w:rsid w:val="00335D58"/>
    <w:rsid w:val="00341D3D"/>
    <w:rsid w:val="00341F8C"/>
    <w:rsid w:val="0034440D"/>
    <w:rsid w:val="003472A5"/>
    <w:rsid w:val="003527B3"/>
    <w:rsid w:val="00365B1F"/>
    <w:rsid w:val="00370463"/>
    <w:rsid w:val="00376316"/>
    <w:rsid w:val="003831C2"/>
    <w:rsid w:val="003917A5"/>
    <w:rsid w:val="00391A3A"/>
    <w:rsid w:val="003970ED"/>
    <w:rsid w:val="003A1BCD"/>
    <w:rsid w:val="003A5D3B"/>
    <w:rsid w:val="003C1651"/>
    <w:rsid w:val="003C56AB"/>
    <w:rsid w:val="003D2BE2"/>
    <w:rsid w:val="003E104C"/>
    <w:rsid w:val="003E34B4"/>
    <w:rsid w:val="003F3FD3"/>
    <w:rsid w:val="003F4BAA"/>
    <w:rsid w:val="00412CED"/>
    <w:rsid w:val="00421438"/>
    <w:rsid w:val="004218AD"/>
    <w:rsid w:val="00423AED"/>
    <w:rsid w:val="0042644E"/>
    <w:rsid w:val="004453D9"/>
    <w:rsid w:val="0044551D"/>
    <w:rsid w:val="0045143C"/>
    <w:rsid w:val="00453744"/>
    <w:rsid w:val="004635D4"/>
    <w:rsid w:val="00463E48"/>
    <w:rsid w:val="00466D8B"/>
    <w:rsid w:val="00472C72"/>
    <w:rsid w:val="00481F08"/>
    <w:rsid w:val="004934C3"/>
    <w:rsid w:val="004949BE"/>
    <w:rsid w:val="004979D1"/>
    <w:rsid w:val="004A0102"/>
    <w:rsid w:val="004A671D"/>
    <w:rsid w:val="004A717B"/>
    <w:rsid w:val="004B1602"/>
    <w:rsid w:val="004B3EDD"/>
    <w:rsid w:val="004B6E3A"/>
    <w:rsid w:val="004C09BB"/>
    <w:rsid w:val="004C22D5"/>
    <w:rsid w:val="004D288A"/>
    <w:rsid w:val="004D2F18"/>
    <w:rsid w:val="004D4BFA"/>
    <w:rsid w:val="004D6D3C"/>
    <w:rsid w:val="004E08E5"/>
    <w:rsid w:val="004E1874"/>
    <w:rsid w:val="00513F29"/>
    <w:rsid w:val="005158F9"/>
    <w:rsid w:val="005307ED"/>
    <w:rsid w:val="0053624D"/>
    <w:rsid w:val="00536DC3"/>
    <w:rsid w:val="00540658"/>
    <w:rsid w:val="0054442E"/>
    <w:rsid w:val="00552C9D"/>
    <w:rsid w:val="005566A9"/>
    <w:rsid w:val="0055694C"/>
    <w:rsid w:val="00556A72"/>
    <w:rsid w:val="005578C8"/>
    <w:rsid w:val="005579F8"/>
    <w:rsid w:val="00565013"/>
    <w:rsid w:val="0057238D"/>
    <w:rsid w:val="00575A7C"/>
    <w:rsid w:val="0057706F"/>
    <w:rsid w:val="00577A7B"/>
    <w:rsid w:val="00577EAE"/>
    <w:rsid w:val="00585550"/>
    <w:rsid w:val="00586142"/>
    <w:rsid w:val="005862FC"/>
    <w:rsid w:val="00592733"/>
    <w:rsid w:val="00595677"/>
    <w:rsid w:val="005A454B"/>
    <w:rsid w:val="005A5240"/>
    <w:rsid w:val="005B6322"/>
    <w:rsid w:val="005C0207"/>
    <w:rsid w:val="005C1E38"/>
    <w:rsid w:val="005E557C"/>
    <w:rsid w:val="005E6ECC"/>
    <w:rsid w:val="005F1F1B"/>
    <w:rsid w:val="00601F98"/>
    <w:rsid w:val="00602AEF"/>
    <w:rsid w:val="00610D96"/>
    <w:rsid w:val="00621CA1"/>
    <w:rsid w:val="00622531"/>
    <w:rsid w:val="00622A30"/>
    <w:rsid w:val="00625945"/>
    <w:rsid w:val="00627477"/>
    <w:rsid w:val="006360F6"/>
    <w:rsid w:val="0064050F"/>
    <w:rsid w:val="00641FAF"/>
    <w:rsid w:val="00647C7E"/>
    <w:rsid w:val="006579DE"/>
    <w:rsid w:val="00664EC8"/>
    <w:rsid w:val="006832CF"/>
    <w:rsid w:val="00686817"/>
    <w:rsid w:val="00687F80"/>
    <w:rsid w:val="006A03FF"/>
    <w:rsid w:val="006A2597"/>
    <w:rsid w:val="006A7A56"/>
    <w:rsid w:val="006C59B7"/>
    <w:rsid w:val="006C7C1F"/>
    <w:rsid w:val="006D17BC"/>
    <w:rsid w:val="006D27FE"/>
    <w:rsid w:val="006D2D5B"/>
    <w:rsid w:val="006E20B5"/>
    <w:rsid w:val="006E6BB7"/>
    <w:rsid w:val="006F3682"/>
    <w:rsid w:val="00711E29"/>
    <w:rsid w:val="007224DB"/>
    <w:rsid w:val="00724A81"/>
    <w:rsid w:val="007450D1"/>
    <w:rsid w:val="00747817"/>
    <w:rsid w:val="00752BD2"/>
    <w:rsid w:val="007539FB"/>
    <w:rsid w:val="007613E8"/>
    <w:rsid w:val="0077016D"/>
    <w:rsid w:val="007928E1"/>
    <w:rsid w:val="007B34F5"/>
    <w:rsid w:val="007B4286"/>
    <w:rsid w:val="007B7638"/>
    <w:rsid w:val="007C58DE"/>
    <w:rsid w:val="007D5633"/>
    <w:rsid w:val="007E357D"/>
    <w:rsid w:val="007E4DFE"/>
    <w:rsid w:val="007F61A1"/>
    <w:rsid w:val="0081134C"/>
    <w:rsid w:val="00823B0B"/>
    <w:rsid w:val="0083317A"/>
    <w:rsid w:val="00833382"/>
    <w:rsid w:val="0083411F"/>
    <w:rsid w:val="00840304"/>
    <w:rsid w:val="00842748"/>
    <w:rsid w:val="00851312"/>
    <w:rsid w:val="00853778"/>
    <w:rsid w:val="008569F5"/>
    <w:rsid w:val="008579EF"/>
    <w:rsid w:val="00864F29"/>
    <w:rsid w:val="0086665F"/>
    <w:rsid w:val="008723DB"/>
    <w:rsid w:val="0088556B"/>
    <w:rsid w:val="008924E6"/>
    <w:rsid w:val="008A2447"/>
    <w:rsid w:val="008B2D53"/>
    <w:rsid w:val="008B4249"/>
    <w:rsid w:val="008B4D28"/>
    <w:rsid w:val="008B6066"/>
    <w:rsid w:val="008B6D09"/>
    <w:rsid w:val="008C7041"/>
    <w:rsid w:val="008D036B"/>
    <w:rsid w:val="008D2A7F"/>
    <w:rsid w:val="008D2C0D"/>
    <w:rsid w:val="008D4A91"/>
    <w:rsid w:val="008E0DE5"/>
    <w:rsid w:val="008E0E54"/>
    <w:rsid w:val="008E103C"/>
    <w:rsid w:val="008F00EE"/>
    <w:rsid w:val="008F5836"/>
    <w:rsid w:val="008F6792"/>
    <w:rsid w:val="008F70E9"/>
    <w:rsid w:val="00900F6E"/>
    <w:rsid w:val="00901E60"/>
    <w:rsid w:val="0090263F"/>
    <w:rsid w:val="009060DA"/>
    <w:rsid w:val="0092193F"/>
    <w:rsid w:val="00922AD1"/>
    <w:rsid w:val="0092536D"/>
    <w:rsid w:val="00925DB9"/>
    <w:rsid w:val="00932E20"/>
    <w:rsid w:val="00933F6D"/>
    <w:rsid w:val="009353A6"/>
    <w:rsid w:val="00943060"/>
    <w:rsid w:val="00943F5A"/>
    <w:rsid w:val="00952B34"/>
    <w:rsid w:val="009538AE"/>
    <w:rsid w:val="0095775B"/>
    <w:rsid w:val="00967DF6"/>
    <w:rsid w:val="009823C7"/>
    <w:rsid w:val="009920FE"/>
    <w:rsid w:val="009A02E2"/>
    <w:rsid w:val="009A18D9"/>
    <w:rsid w:val="009C0D38"/>
    <w:rsid w:val="009C4AFB"/>
    <w:rsid w:val="009C5D67"/>
    <w:rsid w:val="009C7325"/>
    <w:rsid w:val="009D537C"/>
    <w:rsid w:val="009D760B"/>
    <w:rsid w:val="009E2AB5"/>
    <w:rsid w:val="009E4BA4"/>
    <w:rsid w:val="009F022D"/>
    <w:rsid w:val="009F09E3"/>
    <w:rsid w:val="009F0D82"/>
    <w:rsid w:val="009F3A2A"/>
    <w:rsid w:val="009F3AC5"/>
    <w:rsid w:val="00A062F6"/>
    <w:rsid w:val="00A06FFA"/>
    <w:rsid w:val="00A12E53"/>
    <w:rsid w:val="00A16845"/>
    <w:rsid w:val="00A24210"/>
    <w:rsid w:val="00A261DD"/>
    <w:rsid w:val="00A51755"/>
    <w:rsid w:val="00A558CB"/>
    <w:rsid w:val="00A652C8"/>
    <w:rsid w:val="00A66EAE"/>
    <w:rsid w:val="00A6733B"/>
    <w:rsid w:val="00A67482"/>
    <w:rsid w:val="00A75795"/>
    <w:rsid w:val="00A916E7"/>
    <w:rsid w:val="00A94DC2"/>
    <w:rsid w:val="00A96DB9"/>
    <w:rsid w:val="00AB03AD"/>
    <w:rsid w:val="00AB45A2"/>
    <w:rsid w:val="00AB483D"/>
    <w:rsid w:val="00AB4F89"/>
    <w:rsid w:val="00AC0AEB"/>
    <w:rsid w:val="00AD0E9E"/>
    <w:rsid w:val="00AD7C69"/>
    <w:rsid w:val="00AE00D6"/>
    <w:rsid w:val="00AE42AB"/>
    <w:rsid w:val="00AE6508"/>
    <w:rsid w:val="00AE73DB"/>
    <w:rsid w:val="00AE7F5C"/>
    <w:rsid w:val="00B01693"/>
    <w:rsid w:val="00B05AA1"/>
    <w:rsid w:val="00B100D7"/>
    <w:rsid w:val="00B10ECE"/>
    <w:rsid w:val="00B202F3"/>
    <w:rsid w:val="00B2208F"/>
    <w:rsid w:val="00B23D2B"/>
    <w:rsid w:val="00B40593"/>
    <w:rsid w:val="00B45568"/>
    <w:rsid w:val="00B57C2A"/>
    <w:rsid w:val="00B738BF"/>
    <w:rsid w:val="00B7418C"/>
    <w:rsid w:val="00B76556"/>
    <w:rsid w:val="00B813FF"/>
    <w:rsid w:val="00B86D2D"/>
    <w:rsid w:val="00BC1F17"/>
    <w:rsid w:val="00BC63D8"/>
    <w:rsid w:val="00BD5D5A"/>
    <w:rsid w:val="00BE2729"/>
    <w:rsid w:val="00BE3361"/>
    <w:rsid w:val="00BE5425"/>
    <w:rsid w:val="00BF1108"/>
    <w:rsid w:val="00BF3C09"/>
    <w:rsid w:val="00C003E8"/>
    <w:rsid w:val="00C110A7"/>
    <w:rsid w:val="00C13F84"/>
    <w:rsid w:val="00C13FC4"/>
    <w:rsid w:val="00C201EA"/>
    <w:rsid w:val="00C20B45"/>
    <w:rsid w:val="00C411EC"/>
    <w:rsid w:val="00C41B82"/>
    <w:rsid w:val="00C62324"/>
    <w:rsid w:val="00C656ED"/>
    <w:rsid w:val="00C70448"/>
    <w:rsid w:val="00C70C9C"/>
    <w:rsid w:val="00C721E3"/>
    <w:rsid w:val="00C73CDC"/>
    <w:rsid w:val="00C83E47"/>
    <w:rsid w:val="00C94E60"/>
    <w:rsid w:val="00C96508"/>
    <w:rsid w:val="00CB70B0"/>
    <w:rsid w:val="00CC494E"/>
    <w:rsid w:val="00CC691C"/>
    <w:rsid w:val="00CD372A"/>
    <w:rsid w:val="00CD37E0"/>
    <w:rsid w:val="00CE421F"/>
    <w:rsid w:val="00CF1271"/>
    <w:rsid w:val="00CF75B2"/>
    <w:rsid w:val="00D077C2"/>
    <w:rsid w:val="00D158C8"/>
    <w:rsid w:val="00D305C3"/>
    <w:rsid w:val="00D350E5"/>
    <w:rsid w:val="00D46A9A"/>
    <w:rsid w:val="00D50A9F"/>
    <w:rsid w:val="00D642CF"/>
    <w:rsid w:val="00D65392"/>
    <w:rsid w:val="00D66DF7"/>
    <w:rsid w:val="00D84357"/>
    <w:rsid w:val="00D86352"/>
    <w:rsid w:val="00D90C6E"/>
    <w:rsid w:val="00D92A7B"/>
    <w:rsid w:val="00D94134"/>
    <w:rsid w:val="00D95E4C"/>
    <w:rsid w:val="00D97277"/>
    <w:rsid w:val="00DA2226"/>
    <w:rsid w:val="00DB5302"/>
    <w:rsid w:val="00DC4734"/>
    <w:rsid w:val="00DD305A"/>
    <w:rsid w:val="00DE3E7E"/>
    <w:rsid w:val="00DE63EF"/>
    <w:rsid w:val="00DE7777"/>
    <w:rsid w:val="00DF6160"/>
    <w:rsid w:val="00DF629B"/>
    <w:rsid w:val="00E00C3C"/>
    <w:rsid w:val="00E1025B"/>
    <w:rsid w:val="00E13612"/>
    <w:rsid w:val="00E1582A"/>
    <w:rsid w:val="00E21E20"/>
    <w:rsid w:val="00E22C81"/>
    <w:rsid w:val="00E23404"/>
    <w:rsid w:val="00E30451"/>
    <w:rsid w:val="00E321CC"/>
    <w:rsid w:val="00E45A3F"/>
    <w:rsid w:val="00E4757E"/>
    <w:rsid w:val="00E475FA"/>
    <w:rsid w:val="00E47E52"/>
    <w:rsid w:val="00E54F20"/>
    <w:rsid w:val="00E63FB1"/>
    <w:rsid w:val="00E7374F"/>
    <w:rsid w:val="00E76B81"/>
    <w:rsid w:val="00E76C9C"/>
    <w:rsid w:val="00E80966"/>
    <w:rsid w:val="00E86CDD"/>
    <w:rsid w:val="00E87CBC"/>
    <w:rsid w:val="00E920CF"/>
    <w:rsid w:val="00EA0ED9"/>
    <w:rsid w:val="00EA2594"/>
    <w:rsid w:val="00EA769B"/>
    <w:rsid w:val="00EB0E50"/>
    <w:rsid w:val="00EB3D0E"/>
    <w:rsid w:val="00EB4DC1"/>
    <w:rsid w:val="00EB6856"/>
    <w:rsid w:val="00EB6F3E"/>
    <w:rsid w:val="00EC3C0E"/>
    <w:rsid w:val="00EC4416"/>
    <w:rsid w:val="00EC6740"/>
    <w:rsid w:val="00EE319E"/>
    <w:rsid w:val="00EF232F"/>
    <w:rsid w:val="00EF312C"/>
    <w:rsid w:val="00EF6501"/>
    <w:rsid w:val="00F17D18"/>
    <w:rsid w:val="00F25224"/>
    <w:rsid w:val="00F31D63"/>
    <w:rsid w:val="00F33186"/>
    <w:rsid w:val="00F41983"/>
    <w:rsid w:val="00F44B84"/>
    <w:rsid w:val="00F45F83"/>
    <w:rsid w:val="00F5249D"/>
    <w:rsid w:val="00F655FA"/>
    <w:rsid w:val="00F67D28"/>
    <w:rsid w:val="00F7608A"/>
    <w:rsid w:val="00F84177"/>
    <w:rsid w:val="00F85501"/>
    <w:rsid w:val="00F863FB"/>
    <w:rsid w:val="00FA59BE"/>
    <w:rsid w:val="00FC34AE"/>
    <w:rsid w:val="00FC39EC"/>
    <w:rsid w:val="00FE5A9E"/>
    <w:rsid w:val="00FF0792"/>
    <w:rsid w:val="00FF1576"/>
    <w:rsid w:val="00FF214A"/>
    <w:rsid w:val="00FF6120"/>
    <w:rsid w:val="187D0693"/>
    <w:rsid w:val="2924121B"/>
    <w:rsid w:val="3508164F"/>
    <w:rsid w:val="39765D53"/>
    <w:rsid w:val="6300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219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21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219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2193F"/>
    <w:rPr>
      <w:color w:val="0000FF" w:themeColor="hyperlink"/>
      <w:u w:val="single"/>
    </w:rPr>
  </w:style>
  <w:style w:type="table" w:styleId="a8">
    <w:name w:val="Table Grid"/>
    <w:basedOn w:val="a1"/>
    <w:rsid w:val="0092193F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92193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93F"/>
    <w:rPr>
      <w:sz w:val="18"/>
      <w:szCs w:val="18"/>
    </w:rPr>
  </w:style>
  <w:style w:type="paragraph" w:styleId="a9">
    <w:name w:val="List Paragraph"/>
    <w:basedOn w:val="a"/>
    <w:qFormat/>
    <w:rsid w:val="0092193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9219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911A33-104E-40DB-BF47-D71BE45D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354</Words>
  <Characters>2023</Characters>
  <Application>Microsoft Office Word</Application>
  <DocSecurity>0</DocSecurity>
  <Lines>16</Lines>
  <Paragraphs>4</Paragraphs>
  <ScaleCrop>false</ScaleCrop>
  <Company>China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140</cp:revision>
  <cp:lastPrinted>2018-07-25T01:34:00Z</cp:lastPrinted>
  <dcterms:created xsi:type="dcterms:W3CDTF">2018-06-19T08:15:00Z</dcterms:created>
  <dcterms:modified xsi:type="dcterms:W3CDTF">2018-12-24T23:38:00Z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